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 (0.80–2.76)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(0.22–2.45)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 (0.46–4.72)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1.45 (0.44–4.73)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2026-10-04T00:32:59Z</dcterms:modified>
  <cp:category/>
</cp:coreProperties>
</file>