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89.7% (82.6–97.4)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 (36.5–88.5)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91.3% (84.1–99.1)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65.9% (46.3–93.8)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(82.9–98.1)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(68.5–96.2)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(77.0–95.1)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(62.5–92.8)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85.9% (76.4–96.7)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31.3% (7.4–100.0)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(81.9–97.2)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71.6% (54.7–93.7)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(83.6–97.4)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(55.0–94.5)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83.5% (74.3–93.8)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(30.2–93.4)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88.5% (80.7–97.1)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(51.9–94.3)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93.5% (87.4–100.0)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(49.2–100.0)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89.3% (80.3–99.3)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60.1% (37.1–97.4)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80.6% (70.6–92.0)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40.6% (20.4–80.6)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2026-10-04T00:33:19Z</dcterms:modified>
  <cp:category/>
</cp:coreProperties>
</file>