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(0.70–0.98)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(1.20–2.20)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(0.53–0.95)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(1.39–2.49)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(0.72–1.03)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(1.22–2.31)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(0.55–1.02)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(1.35–2.50)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(1.22–2.31)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(0.56–1.03)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 (1.35–2.49)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(0.54–1.47)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2026-10-04T15:45:43Z</dcterms:modified>
  <cp:category/>
</cp:coreProperties>
</file>