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Cox regression for relapse-free survival: MAD2L1 expression, GSE39582 (CIT, colon), pMMR only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0"/>
        <w:gridCol w:w="3200"/>
        <w:gridCol w:w="114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 (0.54–1.12)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 (0.66–0.97)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 (0.68–1.00)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1.04 (0.72–1.49)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 (0.59–1.21)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2.07 (1.43–3.00)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2026-10-04T15:45:45Z</dcterms:modified>
  <cp:category/>
</cp:coreProperties>
</file>