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MAD2L1 expression, GSE39582 (CIT, colon).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5"/>
        <w:gridCol w:w="1251"/>
        <w:gridCol w:w="921"/>
        <w:gridCol w:w="681"/>
        <w:gridCol w:w="931"/>
        <w:gridCol w:w="2431"/>
        <w:gridCol w:w="1760"/>
        <w:gridCol w:w="1760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145.0 (105.0–NR)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73.8% (68.6–79.4)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64.4% (58.6–70.8)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(95.0–NR)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81.9% (77.3–86.7)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70.6% (64.9–76.7)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(102.0–NR)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(67.9–79.8)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63.9% (57.5–71.0)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106.0 (83.0–NR)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79.6% (74.1–85.5)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66.5% (59.8–73.9)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68.6% (62.9–74.9)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64.4% (58.3–71.0)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(74.8–85.2)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75.9% (70.4–81.8)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66.7% (60.2–73.9)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62.8% (56.0–70.4)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74.4% (68.1–81.3)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70.0% (63.3–77.5)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2026-10-04T15:45:43Z</dcterms:modified>
  <cp:category/>
</cp:coreProperties>
</file>