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MAD2L1 expression (High vs Low, median split of probe 203362_s_at within tumors) in GSE39582 (CIT, colon). HR from Cox regression; multivariable and time-split gene HRs are per 1 log2 unit of expression; multivariable models adjusted for age group, years, sex and pathologic stage group; '+ MMR status' additionally adjusts for mmr status and '(MMR status known)' is the model without it on the same patients. Interaction p = likelihood-ratio test for MAD2L1 expression × mmr status. Time-split HRs (0–24 / &gt;24 months, adjusted) are shown only when the gene term violated proportional hazards. RMST difference = High − Low restricted mean survival time up to 60 months. Relapse-free survival excludes stage 4. Direction compared with the TCGA-COAD multivariable HR 0.83.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04"/>
        <w:gridCol w:w="1064"/>
        <w:gridCol w:w="2705"/>
        <w:gridCol w:w="621"/>
        <w:gridCol w:w="815"/>
        <w:gridCol w:w="1344"/>
        <w:gridCol w:w="805"/>
        <w:gridCol w:w="726"/>
        <w:gridCol w:w="1262"/>
        <w:gridCol w:w="1441"/>
        <w:gridCol w:w="1192"/>
        <w:gridCol w:w="1091"/>
        <w:gridCol w:w="3109"/>
        <w:gridCol w:w="928"/>
        <w:gridCol w:w="20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(gene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Interaction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Direction as TCGA-COAD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0.85 (0.64–1.13)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3.15 (0.17, 6.14)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0.82 (0.70–0.96)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 (0.70–0.98)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 (0.72–1.03)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 (0.71–1.33)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2.12 (-1.33, 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0.89 (0.74–1.07)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0.63 (0.45–0.88)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4.88 (1.20, 8.55)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 (0.61–0.86)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0.75 (0.62–0.89)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 (0.63–0.92)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0.79 (0.65–0.96)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0.78 (0.54–1.12)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2.92 (-1.41, 7.25)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 (0.66–0.97)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0.82 (0.68–1.00)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2026-10-04T15:45:42Z</dcterms:modified>
  <cp:category/>
</cp:coreProperties>
</file>