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BRAF expression, TCGA-COAD (n = 273, events = 49, EPV = 9.8;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6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1.58 (0.98–2.57)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2.52 (1.31–4.82)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1.27 (0.71–2.25)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3.50 (1.82–6.73)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1.97 (1.10–3.55)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2026-10-04T15:39:50Z</dcterms:modified>
  <cp:category/>
</cp:coreProperties>
</file>