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(0.60–1.23)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 (1.32–4.94)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(0.68–2.17)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3.85 (2.02–7.36)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(1.11–3.54)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2026-10-04T15:39:52Z</dcterms:modified>
  <cp:category/>
</cp:coreProperties>
</file>