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(0.78–2.00)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(1.29–4.81)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(0.70–2.23)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3.83 (2.00–7.33)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 (1.13–3.63)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2026-10-04T15:39:54Z</dcterms:modified>
  <cp:category/>
</cp:coreProperties>
</file>