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MAD2L1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(0.60–1.16)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(1.36–5.11)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(0.65–2.11)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3.61 (1.88–6.95)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2026-10-04T15:40:09Z</dcterms:modified>
  <cp:category/>
</cp:coreProperties>
</file>