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(0.85–1.09)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2.60 (1.35–5.01)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(0.67–2.15)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3.90 (2.03–7.48)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(1.12–3.57)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2026-10-04T15:40:05Z</dcterms:modified>
  <cp:category/>
</cp:coreProperties>
</file>