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 (0.97–2.80)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2.60 (1.35–5.03)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(0.71–2.24)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3.58 (1.85–6.94)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1.97 (1.09–3.55)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2026-10-04T15:39:56Z</dcterms:modified>
  <cp:category/>
</cp:coreProperties>
</file>