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(0.66–1.16)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2.68 (1.38–5.22)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(0.66–2.13)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4.03 (2.09–7.76)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2026-10-04T15:40:02Z</dcterms:modified>
  <cp:category/>
</cp:coreProperties>
</file>