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(1.08–2.44)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(0.61–0.95)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(1.00–2.36)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2026-10-04T15:40:13Z</dcterms:modified>
  <cp:category/>
</cp:coreProperties>
</file>