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(79.0–90.5)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(59.7–83.0)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 (64.8–79.4)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59.0% (49.3–70.7)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72.8% (65.9–80.5)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60.9% (50.3–73.8)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(83.2–NR)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82.7% (76.7–89.1)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68.0% (58.1–79.5)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2026-10-04T15:40:12Z</dcterms:modified>
  <cp:category/>
</cp:coreProperties>
</file>