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(MAD2L1)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(83.2–NR)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(0.60–1.16)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(0.61–1.25)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4.27 (-0.05, 8.59)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1.54 (1.05–2.25)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(1.01–2.60)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(0.58–1.35)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(0.81–2.14)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1.80 (1.00–3.24)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1.56 (1.09–2.25)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(0.65–1.09)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(0.76–1.44)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(0.37–0.86)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(0.90–1.18)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1.43 (1.16–1.77)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1.27 (0.93–1.74)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(0.90–1.71)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2026-10-04T15:40:11Z</dcterms:modified>
  <cp:category/>
</cp:coreProperties>
</file>