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MAD2L1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(65.9%)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(80.4%)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(88.3%)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(70.3%)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(93.0%)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2026-10-04T15:24:51Z</dcterms:modified>
  <cp:category/>
</cp:coreProperties>
</file>