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(92.6%)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(60.8%)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2026-10-04T15:24:30Z</dcterms:modified>
  <cp:category/>
</cp:coreProperties>
</file>