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TCGA-COAD cohort (N = 457)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457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(41.7%)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266 (58.3%)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(52.9%)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(47.1%)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(29.3%)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(17.1%)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(12.1%)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268 (58.8%)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(23.2%)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336 (84.0%)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 (56.4%)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(43.6%)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(65.7%)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(34.3%)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(60.4%)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 (75.9%)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(24.1%)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329 (91.6%)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(7.2%)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389 (86.3%)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(13.7%)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(19.8%)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(24.3%)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(9.1%)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(48.2%)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 (51.8%)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2026-10-04T15:23:38Z</dcterms:modified>
  <cp:category/>
</cp:coreProperties>
</file>