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(1.20–2.20)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(0.53–0.95)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(1.39–2.49)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 (1.35–2.49)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(0.54–1.47)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2026-10-04T15:41:08Z</dcterms:modified>
  <cp:category/>
</cp:coreProperties>
</file>