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overall survival: MAD2L1 expression, GSE39582 (CIT, colon), pMMR only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200"/>
        <w:gridCol w:w="114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 (0.71–1.33)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(0.74–1.05)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 (0.74–1.07)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1.62 (1.16–2.25)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 (0.62–1.18)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1.89 (1.36–2.62)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2026-10-04T15:41:08Z</dcterms:modified>
  <cp:category/>
</cp:coreProperties>
</file>