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MAD2L1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(0.49–0.89)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(0.68–0.94)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(0.72–1.31)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2.69 (1.97–3.69)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(0.69–0.96)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(0.72–1.33)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(0.58–1.08)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2.53 (1.82–3.52)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(0.71–1.00)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(0.73–1.36)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(0.59–1.10)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(1.79–3.46)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 (0.23–0.83)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2026-10-04T15:41:09Z</dcterms:modified>
  <cp:category/>
</cp:coreProperties>
</file>