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MAD2L1 expression, GSE39582 (CIT, colon).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5"/>
        <w:gridCol w:w="1251"/>
        <w:gridCol w:w="921"/>
        <w:gridCol w:w="681"/>
        <w:gridCol w:w="931"/>
        <w:gridCol w:w="2431"/>
        <w:gridCol w:w="1760"/>
        <w:gridCol w:w="1760"/>
        <w:gridCol w:w="128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Log-rank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145.0 (105.0–NR)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73.8% (68.6–79.4)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64.4% (58.6–70.8)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(95.0–NR)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81.9% (77.3–86.7)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70.6% (64.9–76.7)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(102.0–NR)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(67.9–79.8)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63.9% (57.5–71.0)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106.0 (83.0–NR)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79.6% (74.1–85.5)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66.5% (59.8–73.9)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(119.0–NR)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64.1% (58.5–70.3)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60.2% (54.4–66.7)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75.8% (70.8–81.3)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72.1% (66.7–78.0)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(74.0–NR)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61.7% (55.5–68.7)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58.2% (51.7–65.4)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0.149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69.8% (63.6–76.6)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65.8% (59.3–73.1)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2026-10-04T15:41:07Z</dcterms:modified>
  <cp:category/>
</cp:coreProperties>
</file>