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MAD2L1 expression (High vs Low, median split of probe 203362_s_at within tumors) in GSE39582 (CIT, colon). HR from Cox regression; multivariable and time-split gene HRs are per 1 log2 unit of expression; multivariable models adjusted for age group, years, sex and pathologic stage group; '+ MMR status' additionally adjusts for mmr status and '(MMR status known)' is the model without it on the same patients. Interaction p = likelihood-ratio test for MAD2L1 expression × mmr status. Time-split HRs (0–24 / &gt;24 months, adjusted) are shown only when the gene term violated proportional hazards. RMST difference = High − Low restricted mean survival time up to 60 months. Relapse-free survival excludes stage NaN. Direction compared with the TCGA-COAD multivariable HR 0.83.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805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3.15 (0.17, 6.14)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2.12 (-1.33, 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 (0.49–0.89)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5.16 (1.32, 9.01)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(0.68–0.94)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0.81 (0.69–0.96)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(0.71–1.00)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(0.66–0.94)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(0.58–1.25)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 (0.58–1.09)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3.13 (-1.36, 7.62)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 (0.71–0.99)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2026-10-04T15:41:06Z</dcterms:modified>
  <cp:category/>
</cp:coreProperties>
</file>