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(0.24–3.91)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3.87 (1.05–14.25)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(0.27–2.91)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(0.49–5.13)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2026-10-04T15:40:15Z</dcterms:modified>
  <cp:category/>
</cp:coreProperties>
</file>