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3.39 (0.91–12.63)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 (0.49–4.90)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(0.55–6.11)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2026-10-04T15:40:18Z</dcterms:modified>
  <cp:category/>
</cp:coreProperties>
</file>