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FBXW7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0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(0.14–1.37)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3.36 (0.90–12.53)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(0.24–2.74)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1.87 (0.58–6.04)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(0.44–4.44)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2026-10-04T15:40:25Z</dcterms:modified>
  <cp:category/>
</cp:coreProperties>
</file>