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 (0.59–2.16)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3.57 (0.97–13.11)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 (0.49–5.00)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1.64 (0.51–5.23)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2026-10-04T15:40:39Z</dcterms:modified>
  <cp:category/>
</cp:coreProperties>
</file>