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(0.35–1.21)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(0.97–13.29)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(0.28–3.19)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(0.50–4.88)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(0.56–6.26)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2026-10-04T15:40:27Z</dcterms:modified>
  <cp:category/>
</cp:coreProperties>
</file>