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MAD2L1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0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(0.35–1.59)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3.78 (1.03–13.90)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(0.26–2.86)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1.51 (0.47–4.79)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(0.51–5.44)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2026-10-04T15:40:42Z</dcterms:modified>
  <cp:category/>
</cp:coreProperties>
</file>