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(1.06–14.58)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 (0.16–2.28)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(0.56–5.67)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(0.57–6.08)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2026-10-04T15:40:37Z</dcterms:modified>
  <cp:category/>
</cp:coreProperties>
</file>