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(0.27–1.76)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3.60 (0.96–13.42)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(0.28–3.14)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1.66 (0.53–5.23)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(0.50–5.14)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2026-10-04T15:40:30Z</dcterms:modified>
  <cp:category/>
</cp:coreProperties>
</file>