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(0.44–1.59)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3.73 (1.01–13.81)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(0.27–3.01)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(0.53–5.28)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1.55 (0.49–4.97)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2026-10-04T15:40:35Z</dcterms:modified>
  <cp:category/>
</cp:coreProperties>
</file>