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4.72 (1.25–17.88)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(0.39–4.07)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 (0.52–5.49)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2026-10-04T15:40:20Z</dcterms:modified>
  <cp:category/>
</cp:coreProperties>
</file>