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2.4;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(0.74–1.85)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6.00 (1.29–27.84)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(0.28–3.26)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(0.37–4.32)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(0.44–5.61)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2026-10-04T15:40:33Z</dcterms:modified>
  <cp:category/>
</cp:coreProperties>
</file>