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89.3% (80.3–99.3)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60.1% (37.1–97.4)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80.6% (70.6–92.0)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40.6% (20.4–80.6)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47.0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(67.9–92.7)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16.6% (3.1–89.0)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90.0% (82.6–98.1)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72.3% (54.4–96.1)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2026-10-04T15:40:45Z</dcterms:modified>
  <cp:category/>
</cp:coreProperties>
</file>