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gene HRs (univariable, multivariable, strata, time-split) are per 1 log2 unit of expression; multivariable model adjusted for age group, years, sex, pathologic stage group and pretreatment cea. Sensitivity: stratified by tss. q = Benjamini–Hochberg across exploratory genes only; the primary gene (MAD2L1)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47.0 (43.2–NR)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(0.34–1.03)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 (0.35–1.59)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(0.34–1.79)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8.29 (1.38, 15.20)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0.96 (0.24–3.91)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1.03 (0.23–4.60)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 (0.21–1.20)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(0.23–1.42)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1.76 (0.92–3.40)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1.60 (0.82–3.11)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(0.76–3.30)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3.04 (0.60–15.54)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(0.48–1.53)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 (0.48–1.96)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1.24 (0.54–2.84)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 (0.15–1.14)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(0.14–1.37)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 (0.13–1.66)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 (0.35–1.21)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 (0.32–1.55)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(0.40–1.89)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 (0.00–1.11)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 (0.27–1.76)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(0.29–2.54)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(0.34–3.35)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 (0.00–1.96)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1.17 (0.74–1.85)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1.17 (0.69–2.01)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 (0.44–1.59)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1.13 (0.47–2.68)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(0.47–2.20)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 (0.04–2.00)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 (0.51–0.99)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(0.46–0.93)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1.02 (0.57–1.83)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1.36 (0.88–2.09)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1.13 (0.59–2.16)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(0.54–2.13)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-9.23 (-16.12, -2.34)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2026-10-04T15:40:44Z</dcterms:modified>
  <cp:category/>
</cp:coreProperties>
</file>