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APC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[61.0,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[53.0,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(37.8%)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(84.9%)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(81.5%)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(91.7%)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(96.0%)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2026-10-04T15:25:04Z</dcterms:modified>
  <cp:category/>
</cp:coreProperties>
</file>