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BRAF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65.5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[59.0,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64.0 [56.0,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(70.5%)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(87.5%)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(48.0%)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(68.0%)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(50.9%)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(49.1%)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(63.4%)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(70.6%)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(66.0%)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2026-10-04T15:24:56Z</dcterms:modified>
  <cp:category/>
</cp:coreProperties>
</file>