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MAD2L1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MAD2L1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65.0 [57.0,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[59.0,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65.0 [57.0,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(48.7%)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(48.1%)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(55.4%)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(57.0%)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(44.6%)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(46.2%)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0.249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(38.2%)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(19.5%)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(69.2%)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(62.3%)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(75.9%)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(26.3%)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(29.5%)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0.335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(81.4%)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(87.3%)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(51.7%)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(57.9%)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(48.3%)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(60.9%)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(57.4%)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(41.1%)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(42.6%)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0.240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(64.7%)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0.552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(75.0%)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(72.9%)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(77.3%)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(25.0%)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117 (90.7%)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(89.1%)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(92.3%)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0.456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(93.2%)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(89.7%)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0.609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(68.8%)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(62.8%)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(42.4%)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(63.2%)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(52.1%)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2026-10-04T15:25:26Z</dcterms:modified>
  <cp:category/>
</cp:coreProperties>
</file>