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the TCGA-READ cohort (N = 170)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</w:tblGrid>
      <w:tr>
        <w:trPr>
          <w:trHeight w:val="460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 = 170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[57.0, 72.0]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(49.1%)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86 (50.9%)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(54.4%)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(45.6%)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(20.2%)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(31.9%)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(31.9%)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(16.0%)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(5.4%)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(17.9%)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115 (68.5%)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(8.3%)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86 (51.8%)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(27.1%)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(21.1%)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130 (85.0%)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(15.0%)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(52.1%)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(47.9%)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(57.9%)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(42.1%)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 (55.6%)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 (44.4%)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 (74.0%)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(26.0%)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 (90.7%)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(1.4%)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(7.9%)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 (92.0%)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(29.9%)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112 (67.1%)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(40.4%)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 (59.6%)</w:t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2026-10-04T15:24:54Z</dcterms:modified>
  <cp:category/>
</cp:coreProperties>
</file>