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(0.57–1.30)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(0.67–1.54)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(0.78–6.37)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4.53 (1.59–12.94)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14.33 (4.99–41.20)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2026-09-27T17:00:35Z</dcterms:modified>
  <cp:category/>
</cp:coreProperties>
</file>