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BRAF expression, TCGA-COAD (n = 427, events = 92, EPV = 15.3)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55"/>
        <w:gridCol w:w="1145"/>
        <w:gridCol w:w="681"/>
        <w:gridCol w:w="931"/>
        <w:gridCol w:w="179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1.06 (0.70–1.61)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1.38 (1.15–1.66)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(0.66–1.52)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2.22 (0.77–6.34)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4.45 (1.56–12.69)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14.09 (4.90–40.49)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2026-09-27T17:00:37Z</dcterms:modified>
  <cp:category/>
</cp:coreProperties>
</file>