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(0.51–1.18)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(0.64–1.48)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(0.76–6.21)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4.36 (1.53–12.42)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13.57 (4.72–39.02)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2026-09-27T17:00:40Z</dcterms:modified>
  <cp:category/>
</cp:coreProperties>
</file>