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(0.66–5.43)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 (1.43–11.65)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13.39 (4.65–38.54)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2026-09-27T17:00:53Z</dcterms:modified>
  <cp:category/>
</cp:coreProperties>
</file>