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(0.62–1.43)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(1.15–1.66)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2.21 (0.77–6.31)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4.45 (1.56–12.67)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14.32 (4.97–41.25)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2026-09-27T17:00:44Z</dcterms:modified>
  <cp:category/>
</cp:coreProperties>
</file>