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(0.53–1.22)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(0.76–6.23)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4.40 (1.55–12.55)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13.68 (4.76–39.36)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2026-09-27T17:00:49Z</dcterms:modified>
  <cp:category/>
</cp:coreProperties>
</file>