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TCGA-COAD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(0.59–1.32)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(0.84–1.23)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1.19 (0.79–1.77)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1.34 (0.93–1.93)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 (0.45–1.00)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(0.66–1.15)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 (0.54–1.20)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 (0.68–1.29)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 (0.81–1.81)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1.30 (0.92–1.85)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1.73 (1.15–2.61)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(1.09–1.74)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 (0.53–1.19)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(0.73–1.04)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 (0.42–0.94)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 (0.72–1.12)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 (0.40–0.92)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(0.87–1.04)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 (1.00–1.40)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(0.58–1.30)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2.26 (0.79–6.46)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3.79 (1.33–10.78)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11.20 (3.94–31.84)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2.90 (1.89–4.46)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2026-09-27T17:00:58Z</dcterms:modified>
  <cp:category/>
</cp:coreProperties>
</file>