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92.7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(71.5–84.8)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(71.7–85.6)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68.6% (59.1–79.7)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(69.1–83.7)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60.2% (49.2–73.6)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73.7% (66.8–81.4)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(50.8–74.8)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(73.7–86.3)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(54.7–78.2)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76.7% (70.1–84.0)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(50.9–74.5)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75.0% (68.6–81.9)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57.9% (47.0–71.2)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(71.3–84.6)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63.6% (52.8–76.7)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78.7% (72.2–85.9)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65.7% (56.0–77.2)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73.9% (67.2–81.2)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57.3% (47.1–69.7)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(68.2–81.8)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58.4% (48.8–69.9)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(74.1–88.5)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73.3% (63.2–85.1)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2026-09-27T17:00:57Z</dcterms:modified>
  <cp:category/>
</cp:coreProperties>
</file>