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multivariable model adjusted for age (per 10 years), sex and pathologic stage. Sensitivity: stratified by tss. q = Benjamini–Hochberg across exploratory genes only; the primary gene (MS4A1)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 (0.40–0.92)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(0.35–0.85)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 (0.31–0.81)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4.88 (0.60, 9.17)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92.7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(0.55–1.40)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 (-3.39, 5.26)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1.19 (0.79–1.77)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(0.70–1.61)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1.11 (0.73–1.71)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-1.92 (-6.23, 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 (0.45–1.00)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(0.51–1.18)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(0.57–1.42)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3.70 (-0.59, 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0.81 (0.54–1.20)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0.79 (0.51–1.25)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1.45 (-2.83, 5.74)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 (0.62–1.43)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 (0.59–1.44)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-1.02 (-5.32,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1.73 (1.15–2.61)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1.70 (1.11–2.60)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1.69 (1.07–2.67)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-5.67 (-9.97, -1.38)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(0.53–1.19)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(0.53–1.22)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0.81 (0.51–1.27)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(-3.87, 4.71)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(0.42–0.94)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(0.37–0.87)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(0.39–0.99)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5.89 (1.63, 10.15)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2026-09-27T17:00:56Z</dcterms:modified>
  <cp:category/>
</cp:coreProperties>
</file>